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DED4" w14:textId="77777777" w:rsidR="008B583C" w:rsidRDefault="008B583C" w:rsidP="008B583C">
      <w:pPr>
        <w:jc w:val="center"/>
        <w:rPr>
          <w:b/>
          <w:bCs/>
        </w:rPr>
      </w:pPr>
      <w:r>
        <w:rPr>
          <w:b/>
          <w:bCs/>
        </w:rPr>
        <w:t xml:space="preserve">ASCC Social and Behavioral Sciences Panel </w:t>
      </w:r>
    </w:p>
    <w:p w14:paraId="300D3B44" w14:textId="07B31468" w:rsidR="008B583C" w:rsidRDefault="00877130" w:rsidP="008B583C">
      <w:pPr>
        <w:jc w:val="center"/>
      </w:pPr>
      <w:r>
        <w:t>A</w:t>
      </w:r>
      <w:r w:rsidR="00CE2486">
        <w:t>pproved</w:t>
      </w:r>
      <w:r w:rsidR="008B583C">
        <w:t xml:space="preserve"> Minutes</w:t>
      </w:r>
    </w:p>
    <w:p w14:paraId="06A767CA" w14:textId="26211B8F" w:rsidR="008B583C" w:rsidRDefault="008B583C" w:rsidP="008B583C">
      <w:r>
        <w:t xml:space="preserve">Thursday, November 4, </w:t>
      </w:r>
      <w:proofErr w:type="gramStart"/>
      <w:r>
        <w:t>2021</w:t>
      </w:r>
      <w:proofErr w:type="gramEnd"/>
      <w:r>
        <w:tab/>
      </w:r>
      <w:r>
        <w:tab/>
      </w:r>
      <w:r>
        <w:tab/>
      </w:r>
      <w:r>
        <w:tab/>
      </w:r>
      <w:r>
        <w:tab/>
      </w:r>
      <w:r>
        <w:tab/>
      </w:r>
      <w:r>
        <w:tab/>
        <w:t xml:space="preserve">      10:30AM – 12:00PM</w:t>
      </w:r>
    </w:p>
    <w:p w14:paraId="5F4559D1" w14:textId="77777777" w:rsidR="008B583C" w:rsidRDefault="008B583C" w:rsidP="008B583C">
      <w:proofErr w:type="spellStart"/>
      <w:r>
        <w:t>CarmenZoom</w:t>
      </w:r>
      <w:proofErr w:type="spellEnd"/>
    </w:p>
    <w:p w14:paraId="029391ED" w14:textId="77777777" w:rsidR="008B583C" w:rsidRDefault="008B583C" w:rsidP="008B583C"/>
    <w:p w14:paraId="7251F342" w14:textId="77777777" w:rsidR="008B583C" w:rsidRDefault="008B583C" w:rsidP="008B583C">
      <w:r>
        <w:rPr>
          <w:b/>
          <w:bCs/>
        </w:rPr>
        <w:t>Attendees</w:t>
      </w:r>
      <w:r>
        <w:t xml:space="preserve">: Cody, Coleman, </w:t>
      </w:r>
      <w:proofErr w:type="spellStart"/>
      <w:r>
        <w:t>Guada</w:t>
      </w:r>
      <w:proofErr w:type="spellEnd"/>
      <w:r>
        <w:t xml:space="preserve">, </w:t>
      </w:r>
      <w:proofErr w:type="spellStart"/>
      <w:r>
        <w:t>Piperata</w:t>
      </w:r>
      <w:proofErr w:type="spellEnd"/>
      <w:r>
        <w:t>, Steele, Valle, Vankeerbergen, Vasey</w:t>
      </w:r>
    </w:p>
    <w:p w14:paraId="4CEE13BA" w14:textId="77777777" w:rsidR="008B583C" w:rsidRDefault="008B583C" w:rsidP="008B583C">
      <w:pPr>
        <w:rPr>
          <w:b/>
          <w:bCs/>
        </w:rPr>
      </w:pPr>
      <w:r>
        <w:rPr>
          <w:b/>
          <w:bCs/>
        </w:rPr>
        <w:t>Agenda:</w:t>
      </w:r>
    </w:p>
    <w:p w14:paraId="69023E58" w14:textId="17F06B6A" w:rsidR="00CD0D38" w:rsidRDefault="00CD0D38" w:rsidP="00CD0D38">
      <w:pPr>
        <w:numPr>
          <w:ilvl w:val="0"/>
          <w:numId w:val="2"/>
        </w:numPr>
      </w:pPr>
      <w:r w:rsidRPr="00CD0D38">
        <w:t>Approval of 10-21-21 minutes</w:t>
      </w:r>
    </w:p>
    <w:p w14:paraId="7D5587B6" w14:textId="2C56D628" w:rsidR="00576E6D" w:rsidRPr="00CD0D38" w:rsidRDefault="00576E6D" w:rsidP="00576E6D">
      <w:pPr>
        <w:numPr>
          <w:ilvl w:val="1"/>
          <w:numId w:val="2"/>
        </w:numPr>
      </w:pPr>
      <w:r>
        <w:t xml:space="preserve">Vasey, </w:t>
      </w:r>
      <w:proofErr w:type="spellStart"/>
      <w:r>
        <w:t>Guada</w:t>
      </w:r>
      <w:proofErr w:type="spellEnd"/>
      <w:r w:rsidR="008B583C">
        <w:t xml:space="preserve">; </w:t>
      </w:r>
      <w:r w:rsidR="008B583C">
        <w:rPr>
          <w:b/>
          <w:bCs/>
        </w:rPr>
        <w:t xml:space="preserve">unanimously approved </w:t>
      </w:r>
      <w:r w:rsidR="008B583C">
        <w:t>(with one abstention)</w:t>
      </w:r>
    </w:p>
    <w:p w14:paraId="0DD7BC99" w14:textId="5EAA056F" w:rsidR="00D62130" w:rsidRDefault="00D62130" w:rsidP="00D62130">
      <w:pPr>
        <w:numPr>
          <w:ilvl w:val="0"/>
          <w:numId w:val="2"/>
        </w:numPr>
      </w:pPr>
      <w:r w:rsidRPr="00CD0D38">
        <w:t xml:space="preserve">Anthropology 5510 (new course; </w:t>
      </w:r>
      <w:proofErr w:type="spellStart"/>
      <w:r w:rsidRPr="00CD0D38">
        <w:t>crosslisted</w:t>
      </w:r>
      <w:proofErr w:type="spellEnd"/>
      <w:r w:rsidRPr="00CD0D38">
        <w:t xml:space="preserve"> with EEOB 5510)</w:t>
      </w:r>
    </w:p>
    <w:p w14:paraId="286AFB72" w14:textId="77777777" w:rsidR="00D62130" w:rsidRPr="00A437F6" w:rsidRDefault="00D62130" w:rsidP="00D62130">
      <w:pPr>
        <w:numPr>
          <w:ilvl w:val="1"/>
          <w:numId w:val="2"/>
        </w:numPr>
      </w:pPr>
      <w:r>
        <w:rPr>
          <w:b/>
          <w:bCs/>
        </w:rPr>
        <w:t>The Panel requests a detailed explanation articulating how students at various levels – junior/senior-level undergraduates vs. MA/PhD graduate students – will move through this course from beginning to end.  Are there differential requirements, reading lists, and assignments?  What are the descriptions for these assignments in the course?  This rationale should demonstrate how a group of students at different levels might successfully navigate a class like this together – that there is a viable path through the course for both undergraduates and graduates.</w:t>
      </w:r>
    </w:p>
    <w:p w14:paraId="2B3D114B" w14:textId="77777777" w:rsidR="00D62130" w:rsidRPr="00491808" w:rsidRDefault="00D62130" w:rsidP="00D62130">
      <w:pPr>
        <w:numPr>
          <w:ilvl w:val="1"/>
          <w:numId w:val="2"/>
        </w:numPr>
      </w:pPr>
      <w:r>
        <w:rPr>
          <w:b/>
          <w:bCs/>
        </w:rPr>
        <w:t>The Panel asks that the department clarify the number of contact hours for this course.  55 minutes twice a week does not meet the minimum required for 3 credit hours; a class that meets biweekly would need to do so for sessions of 1 hour and 20 minutes in length.</w:t>
      </w:r>
    </w:p>
    <w:p w14:paraId="60CD2BA8" w14:textId="77777777" w:rsidR="00D62130" w:rsidRDefault="00D62130" w:rsidP="00D62130">
      <w:pPr>
        <w:numPr>
          <w:ilvl w:val="1"/>
          <w:numId w:val="2"/>
        </w:numPr>
      </w:pPr>
      <w:r>
        <w:rPr>
          <w:b/>
          <w:bCs/>
        </w:rPr>
        <w:t>Since this course is not under consideration for DL status, the Panel requests that any language referring to the course as DL/delivered online be removed (ex., on the first page of the syllabus</w:t>
      </w:r>
      <w:proofErr w:type="gramStart"/>
      <w:r>
        <w:rPr>
          <w:b/>
          <w:bCs/>
        </w:rPr>
        <w:t>:  “</w:t>
      </w:r>
      <w:proofErr w:type="gramEnd"/>
      <w:r>
        <w:rPr>
          <w:b/>
          <w:bCs/>
        </w:rPr>
        <w:t>class will be taught in person if possible”).</w:t>
      </w:r>
    </w:p>
    <w:p w14:paraId="3A10BBD3" w14:textId="64F4E996" w:rsidR="00D62130" w:rsidRPr="001D3556" w:rsidRDefault="00D62130" w:rsidP="00D62130">
      <w:pPr>
        <w:numPr>
          <w:ilvl w:val="1"/>
          <w:numId w:val="2"/>
        </w:numPr>
      </w:pPr>
      <w:r>
        <w:rPr>
          <w:b/>
          <w:bCs/>
        </w:rPr>
        <w:t xml:space="preserve">The Panel understands that the nature of this course makes it such that readings might vary from term to term, especially when taught by different instructors.  However, </w:t>
      </w:r>
      <w:proofErr w:type="gramStart"/>
      <w:r>
        <w:rPr>
          <w:b/>
          <w:bCs/>
        </w:rPr>
        <w:t>in order to</w:t>
      </w:r>
      <w:proofErr w:type="gramEnd"/>
      <w:r>
        <w:rPr>
          <w:b/>
          <w:bCs/>
        </w:rPr>
        <w:t xml:space="preserve"> assess if the proposed workload is suitable to a 3-credit-hour class, the Panel asks that a</w:t>
      </w:r>
      <w:r w:rsidR="00D74EEE">
        <w:rPr>
          <w:b/>
          <w:bCs/>
        </w:rPr>
        <w:t>n</w:t>
      </w:r>
      <w:r>
        <w:rPr>
          <w:b/>
          <w:bCs/>
        </w:rPr>
        <w:t xml:space="preserve"> exemplar list of readings, with page numbers, be included in the course schedule.</w:t>
      </w:r>
    </w:p>
    <w:p w14:paraId="2F0267CB" w14:textId="36C30E20" w:rsidR="00D62130" w:rsidRDefault="00D62130" w:rsidP="00D62130">
      <w:pPr>
        <w:pStyle w:val="ListParagraph"/>
        <w:numPr>
          <w:ilvl w:val="1"/>
          <w:numId w:val="2"/>
        </w:numPr>
        <w:spacing w:line="256" w:lineRule="auto"/>
        <w:rPr>
          <w:b/>
          <w:bCs/>
        </w:rPr>
      </w:pPr>
      <w:r w:rsidRPr="001D3556">
        <w:rPr>
          <w:b/>
          <w:bCs/>
        </w:rPr>
        <w:t>The Panel asks that the department include the most up-to-date version of the University’s disability services</w:t>
      </w:r>
      <w:r w:rsidR="00315142">
        <w:rPr>
          <w:b/>
          <w:bCs/>
        </w:rPr>
        <w:t xml:space="preserve"> statement,</w:t>
      </w:r>
      <w:r w:rsidRPr="001D3556">
        <w:rPr>
          <w:b/>
          <w:bCs/>
        </w:rPr>
        <w:t xml:space="preserve"> which can be found here: </w:t>
      </w:r>
      <w:hyperlink r:id="rId5" w:history="1">
        <w:r w:rsidRPr="001D3556">
          <w:rPr>
            <w:rStyle w:val="Hyperlink"/>
            <w:b/>
            <w:bCs/>
          </w:rPr>
          <w:t>https://asccas.osu.edu/curriculum/syllabus-elements</w:t>
        </w:r>
      </w:hyperlink>
      <w:r w:rsidRPr="001D3556">
        <w:rPr>
          <w:b/>
          <w:bCs/>
        </w:rPr>
        <w:t xml:space="preserve"> </w:t>
      </w:r>
    </w:p>
    <w:p w14:paraId="7401A01D" w14:textId="77777777" w:rsidR="008D45BA" w:rsidRDefault="008D45BA" w:rsidP="008D45BA">
      <w:pPr>
        <w:pStyle w:val="ListParagraph"/>
        <w:spacing w:line="256" w:lineRule="auto"/>
        <w:ind w:left="1440"/>
        <w:rPr>
          <w:b/>
          <w:bCs/>
        </w:rPr>
      </w:pPr>
    </w:p>
    <w:p w14:paraId="3D45159E" w14:textId="585E7281" w:rsidR="00D74EEE" w:rsidRDefault="00D74EEE" w:rsidP="00D62130">
      <w:pPr>
        <w:pStyle w:val="ListParagraph"/>
        <w:numPr>
          <w:ilvl w:val="1"/>
          <w:numId w:val="2"/>
        </w:numPr>
        <w:spacing w:line="256" w:lineRule="auto"/>
        <w:rPr>
          <w:b/>
          <w:bCs/>
        </w:rPr>
      </w:pPr>
      <w:r>
        <w:rPr>
          <w:b/>
          <w:bCs/>
        </w:rPr>
        <w:t xml:space="preserve">The Mental Health Statement on the last page of the syllabus is not appropriate for ASC students. </w:t>
      </w:r>
      <w:r w:rsidR="00FD48FA">
        <w:rPr>
          <w:b/>
          <w:bCs/>
        </w:rPr>
        <w:t xml:space="preserve"> </w:t>
      </w:r>
      <w:r>
        <w:rPr>
          <w:b/>
          <w:bCs/>
        </w:rPr>
        <w:t xml:space="preserve">They should </w:t>
      </w:r>
      <w:r w:rsidR="00F35580">
        <w:rPr>
          <w:b/>
          <w:bCs/>
        </w:rPr>
        <w:t xml:space="preserve">not </w:t>
      </w:r>
      <w:r>
        <w:rPr>
          <w:b/>
          <w:bCs/>
        </w:rPr>
        <w:t xml:space="preserve">be referred to the College of Pharmacy for mental </w:t>
      </w:r>
      <w:r>
        <w:rPr>
          <w:b/>
          <w:bCs/>
        </w:rPr>
        <w:lastRenderedPageBreak/>
        <w:t xml:space="preserve">health issues. </w:t>
      </w:r>
      <w:r w:rsidR="00FD48FA">
        <w:rPr>
          <w:b/>
          <w:bCs/>
        </w:rPr>
        <w:t xml:space="preserve"> </w:t>
      </w:r>
      <w:r>
        <w:rPr>
          <w:b/>
          <w:bCs/>
        </w:rPr>
        <w:t>This is a statement appropriate for courses taught in the College of Pharmacy.</w:t>
      </w:r>
      <w:r w:rsidR="00FD48FA">
        <w:rPr>
          <w:b/>
          <w:bCs/>
        </w:rPr>
        <w:t xml:space="preserve"> </w:t>
      </w:r>
      <w:r>
        <w:rPr>
          <w:b/>
          <w:bCs/>
        </w:rPr>
        <w:t xml:space="preserve"> Please see </w:t>
      </w:r>
      <w:hyperlink r:id="rId6" w:history="1">
        <w:r w:rsidRPr="00E54ADF">
          <w:rPr>
            <w:rStyle w:val="Hyperlink"/>
            <w:b/>
            <w:bCs/>
          </w:rPr>
          <w:t>https://asccas.osu.edu/curriculum/syllabus-elements</w:t>
        </w:r>
      </w:hyperlink>
      <w:r>
        <w:rPr>
          <w:b/>
          <w:bCs/>
        </w:rPr>
        <w:t xml:space="preserve"> </w:t>
      </w:r>
    </w:p>
    <w:p w14:paraId="48C74011" w14:textId="77777777" w:rsidR="00315142" w:rsidRDefault="00315142" w:rsidP="00315142">
      <w:pPr>
        <w:pStyle w:val="ListParagraph"/>
        <w:spacing w:line="256" w:lineRule="auto"/>
        <w:ind w:left="1440"/>
        <w:rPr>
          <w:b/>
          <w:bCs/>
        </w:rPr>
      </w:pPr>
    </w:p>
    <w:p w14:paraId="07CA399D" w14:textId="5049C2C5" w:rsidR="00315142" w:rsidRPr="00315142" w:rsidRDefault="00315142" w:rsidP="00315142">
      <w:pPr>
        <w:pStyle w:val="ListParagraph"/>
        <w:numPr>
          <w:ilvl w:val="1"/>
          <w:numId w:val="2"/>
        </w:numPr>
        <w:spacing w:line="256" w:lineRule="auto"/>
        <w:rPr>
          <w:i/>
          <w:iCs/>
        </w:rPr>
      </w:pPr>
      <w:r w:rsidRPr="00315142">
        <w:rPr>
          <w:i/>
          <w:iCs/>
        </w:rPr>
        <w:t xml:space="preserve">The Panel </w:t>
      </w:r>
      <w:r>
        <w:rPr>
          <w:i/>
          <w:iCs/>
        </w:rPr>
        <w:t>recommends</w:t>
      </w:r>
      <w:r w:rsidRPr="00315142">
        <w:rPr>
          <w:i/>
          <w:iCs/>
        </w:rPr>
        <w:t xml:space="preserve"> that the department include the most up-to-date version of th</w:t>
      </w:r>
      <w:r w:rsidR="00044C30">
        <w:rPr>
          <w:i/>
          <w:iCs/>
        </w:rPr>
        <w:t>e</w:t>
      </w:r>
      <w:r w:rsidRPr="00315142">
        <w:rPr>
          <w:i/>
          <w:iCs/>
        </w:rPr>
        <w:t xml:space="preserve"> Title IX statement, which can be found here: </w:t>
      </w:r>
      <w:hyperlink r:id="rId7" w:history="1">
        <w:r w:rsidRPr="00315142">
          <w:rPr>
            <w:rStyle w:val="Hyperlink"/>
            <w:i/>
            <w:iCs/>
          </w:rPr>
          <w:t>https://asccas.osu.edu/curriculum/syllabus-elements</w:t>
        </w:r>
      </w:hyperlink>
    </w:p>
    <w:p w14:paraId="0A549DEE" w14:textId="01C3BD74" w:rsidR="00D62130" w:rsidRDefault="00D62130" w:rsidP="00D62130">
      <w:pPr>
        <w:numPr>
          <w:ilvl w:val="1"/>
          <w:numId w:val="2"/>
        </w:numPr>
      </w:pPr>
      <w:bookmarkStart w:id="0" w:name="_Hlk87558674"/>
      <w:r>
        <w:rPr>
          <w:i/>
          <w:iCs/>
        </w:rPr>
        <w:t>The Panel questioned why the course was not integrated into the Medical Anthropology curriculum</w:t>
      </w:r>
      <w:r w:rsidR="00D74EEE">
        <w:rPr>
          <w:i/>
          <w:iCs/>
        </w:rPr>
        <w:t xml:space="preserve"> map</w:t>
      </w:r>
      <w:r>
        <w:rPr>
          <w:i/>
          <w:iCs/>
        </w:rPr>
        <w:t xml:space="preserve"> like with other subfield groups.  </w:t>
      </w:r>
      <w:r w:rsidR="00D74EEE">
        <w:rPr>
          <w:i/>
          <w:iCs/>
        </w:rPr>
        <w:t>T</w:t>
      </w:r>
      <w:r>
        <w:rPr>
          <w:i/>
          <w:iCs/>
        </w:rPr>
        <w:t xml:space="preserve">he Panel recommends including </w:t>
      </w:r>
      <w:r w:rsidR="00D74EEE">
        <w:rPr>
          <w:i/>
          <w:iCs/>
        </w:rPr>
        <w:t>the course in the Medical Anthropology major.</w:t>
      </w:r>
      <w:r>
        <w:rPr>
          <w:i/>
          <w:iCs/>
        </w:rPr>
        <w:t xml:space="preserve">  </w:t>
      </w:r>
    </w:p>
    <w:bookmarkEnd w:id="0"/>
    <w:p w14:paraId="728906D3" w14:textId="269BFC31" w:rsidR="00D62130" w:rsidRDefault="00D62130" w:rsidP="00D62130">
      <w:pPr>
        <w:numPr>
          <w:ilvl w:val="1"/>
          <w:numId w:val="2"/>
        </w:numPr>
      </w:pPr>
      <w:proofErr w:type="spellStart"/>
      <w:r>
        <w:t>Piperata</w:t>
      </w:r>
      <w:proofErr w:type="spellEnd"/>
      <w:r>
        <w:t xml:space="preserve">, Vasey; </w:t>
      </w:r>
      <w:r>
        <w:rPr>
          <w:b/>
          <w:bCs/>
        </w:rPr>
        <w:t xml:space="preserve">unanimously approved </w:t>
      </w:r>
      <w:r>
        <w:t xml:space="preserve">with </w:t>
      </w:r>
      <w:r w:rsidR="00D74EEE">
        <w:rPr>
          <w:b/>
          <w:bCs/>
        </w:rPr>
        <w:t>six</w:t>
      </w:r>
      <w:r>
        <w:rPr>
          <w:b/>
          <w:bCs/>
        </w:rPr>
        <w:t xml:space="preserve"> (</w:t>
      </w:r>
      <w:r w:rsidR="00D74EEE">
        <w:rPr>
          <w:b/>
          <w:bCs/>
        </w:rPr>
        <w:t>6</w:t>
      </w:r>
      <w:r>
        <w:rPr>
          <w:b/>
          <w:bCs/>
        </w:rPr>
        <w:t xml:space="preserve">) contingencies </w:t>
      </w:r>
      <w:r>
        <w:t xml:space="preserve">(in bold above) and </w:t>
      </w:r>
      <w:r w:rsidR="00315142">
        <w:rPr>
          <w:i/>
          <w:iCs/>
        </w:rPr>
        <w:t>two</w:t>
      </w:r>
      <w:r>
        <w:rPr>
          <w:i/>
          <w:iCs/>
        </w:rPr>
        <w:t xml:space="preserve"> (</w:t>
      </w:r>
      <w:r w:rsidR="00315142">
        <w:rPr>
          <w:i/>
          <w:iCs/>
        </w:rPr>
        <w:t>2</w:t>
      </w:r>
      <w:r>
        <w:rPr>
          <w:i/>
          <w:iCs/>
        </w:rPr>
        <w:t>) recommendation</w:t>
      </w:r>
      <w:r w:rsidR="00315142">
        <w:rPr>
          <w:i/>
          <w:iCs/>
        </w:rPr>
        <w:t>s</w:t>
      </w:r>
      <w:r>
        <w:rPr>
          <w:i/>
          <w:iCs/>
        </w:rPr>
        <w:t xml:space="preserve"> </w:t>
      </w:r>
      <w:r>
        <w:t>(in italics above)</w:t>
      </w:r>
    </w:p>
    <w:p w14:paraId="324F3503" w14:textId="77777777" w:rsidR="009415B7" w:rsidRDefault="009415B7" w:rsidP="009415B7">
      <w:pPr>
        <w:numPr>
          <w:ilvl w:val="0"/>
          <w:numId w:val="2"/>
        </w:numPr>
      </w:pPr>
      <w:r w:rsidRPr="00CD0D38">
        <w:t xml:space="preserve">Anthropology 5505 (new course; </w:t>
      </w:r>
      <w:proofErr w:type="spellStart"/>
      <w:r w:rsidRPr="00CD0D38">
        <w:t>crosslisted</w:t>
      </w:r>
      <w:proofErr w:type="spellEnd"/>
      <w:r w:rsidRPr="00CD0D38">
        <w:t xml:space="preserve"> with EEOB 5505)</w:t>
      </w:r>
      <w:r>
        <w:t xml:space="preserve"> (2)</w:t>
      </w:r>
    </w:p>
    <w:p w14:paraId="23B17C2C" w14:textId="77777777" w:rsidR="009415B7" w:rsidRPr="00A437F6" w:rsidRDefault="009415B7" w:rsidP="009415B7">
      <w:pPr>
        <w:numPr>
          <w:ilvl w:val="1"/>
          <w:numId w:val="2"/>
        </w:numPr>
      </w:pPr>
      <w:r>
        <w:rPr>
          <w:b/>
          <w:bCs/>
        </w:rPr>
        <w:t>The Panel requests a detailed explanation articulating how students at various levels – junior/senior-level undergraduates vs. MA/PhD graduate students – will move through this course from beginning to end.  Are there differential requirements, reading lists, and assignments?  What are the descriptions for these assignments in the course?  This rationale should demonstrate how a group of students at different levels might successfully navigate a class like this together – that there is a viable path through the course for both undergraduates and graduates.</w:t>
      </w:r>
    </w:p>
    <w:p w14:paraId="6AF573C8" w14:textId="77777777" w:rsidR="009415B7" w:rsidRDefault="009415B7" w:rsidP="009415B7">
      <w:pPr>
        <w:numPr>
          <w:ilvl w:val="1"/>
          <w:numId w:val="2"/>
        </w:numPr>
      </w:pPr>
      <w:r>
        <w:rPr>
          <w:b/>
          <w:bCs/>
        </w:rPr>
        <w:t>The Panel asks that the curriculum map be revised to include Anthropology 5505; the version submitted to curriculum.osu.edu highlights a different course.</w:t>
      </w:r>
    </w:p>
    <w:p w14:paraId="6567AAA7" w14:textId="77777777" w:rsidR="009415B7" w:rsidRPr="004F189D" w:rsidRDefault="009415B7" w:rsidP="009415B7">
      <w:pPr>
        <w:numPr>
          <w:ilvl w:val="1"/>
          <w:numId w:val="2"/>
        </w:numPr>
      </w:pPr>
      <w:r>
        <w:rPr>
          <w:i/>
          <w:iCs/>
        </w:rPr>
        <w:t xml:space="preserve">The Panel strongly recommends that the course schedule be broken down by day rather than by week, thereby facilitating clearer delivery of readings and assignments to students.  </w:t>
      </w:r>
    </w:p>
    <w:p w14:paraId="68FA05FF" w14:textId="77777777" w:rsidR="00CB2BC3" w:rsidRDefault="00CB2BC3" w:rsidP="00CB2BC3">
      <w:pPr>
        <w:numPr>
          <w:ilvl w:val="1"/>
          <w:numId w:val="2"/>
        </w:numPr>
      </w:pPr>
      <w:r>
        <w:rPr>
          <w:i/>
          <w:iCs/>
        </w:rPr>
        <w:t xml:space="preserve">The Panel questioned why the course was not integrated into the Medical Anthropology curriculum map like with other subfield groups.  The Panel recommends including the course in the Medical Anthropology major.  </w:t>
      </w:r>
    </w:p>
    <w:p w14:paraId="163C8D8E" w14:textId="77777777" w:rsidR="009415B7" w:rsidRDefault="009415B7" w:rsidP="009415B7">
      <w:pPr>
        <w:numPr>
          <w:ilvl w:val="1"/>
          <w:numId w:val="2"/>
        </w:numPr>
      </w:pPr>
      <w:r>
        <w:rPr>
          <w:i/>
          <w:iCs/>
        </w:rPr>
        <w:t>The Panel suggests reviewing the syllabus for extraneous DL language, as this course will be taught in-person (ex., page 12 of the syllabus implies that class discussion will take place entirely online).</w:t>
      </w:r>
    </w:p>
    <w:p w14:paraId="2C0F3184" w14:textId="77777777" w:rsidR="009415B7" w:rsidRPr="00717C0E" w:rsidRDefault="009415B7" w:rsidP="009415B7">
      <w:pPr>
        <w:pStyle w:val="ListParagraph"/>
        <w:numPr>
          <w:ilvl w:val="1"/>
          <w:numId w:val="3"/>
        </w:numPr>
        <w:rPr>
          <w:i/>
          <w:iCs/>
        </w:rPr>
      </w:pPr>
      <w:r>
        <w:rPr>
          <w:i/>
          <w:iCs/>
        </w:rPr>
        <w:t>The Panel recommends removing any reference to an “OSU standard grading scheme,” as Ohio State does not have a standardized grading scheme.</w:t>
      </w:r>
    </w:p>
    <w:p w14:paraId="309DD709" w14:textId="4E776567" w:rsidR="009415B7" w:rsidRDefault="009415B7" w:rsidP="009415B7">
      <w:pPr>
        <w:numPr>
          <w:ilvl w:val="1"/>
          <w:numId w:val="2"/>
        </w:numPr>
      </w:pPr>
      <w:r>
        <w:t xml:space="preserve">Vasey, </w:t>
      </w:r>
      <w:proofErr w:type="spellStart"/>
      <w:r>
        <w:t>Piperata</w:t>
      </w:r>
      <w:proofErr w:type="spellEnd"/>
      <w:r>
        <w:t xml:space="preserve">; </w:t>
      </w:r>
      <w:r>
        <w:rPr>
          <w:b/>
          <w:bCs/>
        </w:rPr>
        <w:t xml:space="preserve">unanimously approved </w:t>
      </w:r>
      <w:r>
        <w:t xml:space="preserve">with </w:t>
      </w:r>
      <w:r>
        <w:rPr>
          <w:b/>
          <w:bCs/>
        </w:rPr>
        <w:t xml:space="preserve">two (2) contingencies </w:t>
      </w:r>
      <w:r>
        <w:t xml:space="preserve">(in bold above) and </w:t>
      </w:r>
      <w:r>
        <w:rPr>
          <w:i/>
          <w:iCs/>
        </w:rPr>
        <w:t>four (4) recommendations</w:t>
      </w:r>
      <w:r>
        <w:t xml:space="preserve"> (in italics above) </w:t>
      </w:r>
    </w:p>
    <w:p w14:paraId="557A0C8A" w14:textId="463FE818" w:rsidR="007405D8" w:rsidRDefault="007405D8" w:rsidP="007405D8"/>
    <w:p w14:paraId="1CB7B205" w14:textId="77777777" w:rsidR="007405D8" w:rsidRDefault="007405D8" w:rsidP="007405D8"/>
    <w:p w14:paraId="161EB13B" w14:textId="4F5AC012" w:rsidR="00CD0D38" w:rsidRDefault="00CD0D38" w:rsidP="00CD0D38">
      <w:pPr>
        <w:numPr>
          <w:ilvl w:val="0"/>
          <w:numId w:val="2"/>
        </w:numPr>
      </w:pPr>
      <w:r w:rsidRPr="00CD0D38">
        <w:lastRenderedPageBreak/>
        <w:t>Communication 2850 (course change; request to change from 3000-level to 2000-level; request for new GE Theme: Citizenship for a Diverse and Just World)</w:t>
      </w:r>
    </w:p>
    <w:p w14:paraId="2CEE5916" w14:textId="6F90A74A" w:rsidR="002F3544" w:rsidRPr="0054392A" w:rsidRDefault="0054392A" w:rsidP="002F3544">
      <w:pPr>
        <w:numPr>
          <w:ilvl w:val="1"/>
          <w:numId w:val="2"/>
        </w:numPr>
        <w:rPr>
          <w:i/>
          <w:iCs/>
        </w:rPr>
      </w:pPr>
      <w:r>
        <w:rPr>
          <w:i/>
          <w:iCs/>
        </w:rPr>
        <w:t>The Panel suggests notifying departments that use this course about the number/level change from 3000 to 2000.</w:t>
      </w:r>
    </w:p>
    <w:p w14:paraId="49D169E1" w14:textId="52B5C725" w:rsidR="002E2843" w:rsidRDefault="00543600" w:rsidP="002F3544">
      <w:pPr>
        <w:numPr>
          <w:ilvl w:val="1"/>
          <w:numId w:val="2"/>
        </w:numPr>
      </w:pPr>
      <w:r>
        <w:rPr>
          <w:i/>
          <w:iCs/>
        </w:rPr>
        <w:t>The Panel recommends including the page count for all readings in the course schedule.</w:t>
      </w:r>
    </w:p>
    <w:p w14:paraId="3D18BA97" w14:textId="77777777" w:rsidR="00540B0F" w:rsidRPr="00717C0E" w:rsidRDefault="00540B0F" w:rsidP="00540B0F">
      <w:pPr>
        <w:pStyle w:val="ListParagraph"/>
        <w:numPr>
          <w:ilvl w:val="1"/>
          <w:numId w:val="2"/>
        </w:numPr>
        <w:rPr>
          <w:i/>
          <w:iCs/>
        </w:rPr>
      </w:pPr>
      <w:r>
        <w:rPr>
          <w:i/>
          <w:iCs/>
        </w:rPr>
        <w:t>The Panel recommends removing any reference to an “OSU standard grading scheme,” as Ohio State does not have a standardized grading scheme.</w:t>
      </w:r>
    </w:p>
    <w:p w14:paraId="03A517E4" w14:textId="6A94E1CE" w:rsidR="00340CDD" w:rsidRDefault="00340CDD" w:rsidP="00340CDD">
      <w:pPr>
        <w:numPr>
          <w:ilvl w:val="1"/>
          <w:numId w:val="2"/>
        </w:numPr>
        <w:spacing w:after="0" w:line="256" w:lineRule="auto"/>
        <w:rPr>
          <w:i/>
          <w:iCs/>
        </w:rPr>
      </w:pPr>
      <w:r w:rsidRPr="00340CDD">
        <w:rPr>
          <w:i/>
          <w:iCs/>
        </w:rPr>
        <w:t xml:space="preserve">The Panel </w:t>
      </w:r>
      <w:r w:rsidR="00556A9F">
        <w:rPr>
          <w:i/>
          <w:iCs/>
        </w:rPr>
        <w:t>notes that they syllabus should include</w:t>
      </w:r>
      <w:r w:rsidRPr="00340CDD">
        <w:rPr>
          <w:i/>
          <w:iCs/>
        </w:rPr>
        <w:t xml:space="preserve"> </w:t>
      </w:r>
      <w:proofErr w:type="gramStart"/>
      <w:r w:rsidRPr="00340CDD">
        <w:rPr>
          <w:i/>
          <w:iCs/>
        </w:rPr>
        <w:t>all of</w:t>
      </w:r>
      <w:proofErr w:type="gramEnd"/>
      <w:r w:rsidRPr="00340CDD">
        <w:rPr>
          <w:i/>
          <w:iCs/>
        </w:rPr>
        <w:t xml:space="preserve"> the correct and complete goals and ELOs for the Citizenship for a Diverse and Just World theme – as well as a small narrative description of how the class intends to meet these ELOs.  </w:t>
      </w:r>
      <w:r w:rsidR="00D64EA7">
        <w:rPr>
          <w:i/>
          <w:iCs/>
        </w:rPr>
        <w:t xml:space="preserve">The Themes Panel will bring this up as a feedback item.  </w:t>
      </w:r>
      <w:r w:rsidR="00556A9F">
        <w:rPr>
          <w:i/>
          <w:iCs/>
        </w:rPr>
        <w:t xml:space="preserve">For future submissions, please make sure that all necessary goals/ELOs appear on the syllabus.  </w:t>
      </w:r>
      <w:r w:rsidRPr="00340CDD">
        <w:rPr>
          <w:i/>
          <w:iCs/>
        </w:rPr>
        <w:t xml:space="preserve">The complete list of goals and ELOs are available here: </w:t>
      </w:r>
      <w:hyperlink r:id="rId8" w:history="1">
        <w:r w:rsidRPr="00340CDD">
          <w:rPr>
            <w:rStyle w:val="Hyperlink"/>
            <w:i/>
            <w:iCs/>
          </w:rPr>
          <w:t>https://oaa.osu.edu/ohio-state-ge-program</w:t>
        </w:r>
      </w:hyperlink>
      <w:r w:rsidRPr="00340CDD">
        <w:rPr>
          <w:i/>
          <w:iCs/>
        </w:rPr>
        <w:t xml:space="preserve"> </w:t>
      </w:r>
    </w:p>
    <w:p w14:paraId="6CA7870E" w14:textId="77777777" w:rsidR="00556A9F" w:rsidRPr="00340CDD" w:rsidRDefault="00556A9F" w:rsidP="00556A9F">
      <w:pPr>
        <w:spacing w:after="0" w:line="256" w:lineRule="auto"/>
        <w:ind w:left="1440"/>
        <w:rPr>
          <w:i/>
          <w:iCs/>
        </w:rPr>
      </w:pPr>
    </w:p>
    <w:p w14:paraId="6875AB6F" w14:textId="77777777" w:rsidR="006523D5" w:rsidRDefault="006523D5" w:rsidP="002F3544">
      <w:pPr>
        <w:numPr>
          <w:ilvl w:val="1"/>
          <w:numId w:val="2"/>
        </w:numPr>
      </w:pPr>
      <w:r>
        <w:rPr>
          <w:i/>
          <w:iCs/>
        </w:rPr>
        <w:t xml:space="preserve">The Panel recommends that the department include the most up-to-date version of the University’s Title IX statement, which can be found here: </w:t>
      </w:r>
      <w:hyperlink r:id="rId9" w:history="1">
        <w:r>
          <w:rPr>
            <w:rStyle w:val="Hyperlink"/>
            <w:i/>
            <w:iCs/>
          </w:rPr>
          <w:t>https://asccas.osu.edu/curriculum/syllabus-elements</w:t>
        </w:r>
      </w:hyperlink>
    </w:p>
    <w:p w14:paraId="6392C789" w14:textId="2E21F9B7" w:rsidR="009D5D45" w:rsidRPr="00CD0D38" w:rsidRDefault="009D5D45" w:rsidP="002F3544">
      <w:pPr>
        <w:numPr>
          <w:ilvl w:val="1"/>
          <w:numId w:val="2"/>
        </w:numPr>
      </w:pPr>
      <w:proofErr w:type="spellStart"/>
      <w:r>
        <w:t>Piperata</w:t>
      </w:r>
      <w:proofErr w:type="spellEnd"/>
      <w:r>
        <w:t>, Vasey</w:t>
      </w:r>
      <w:r w:rsidR="00D93F7D">
        <w:t xml:space="preserve">; </w:t>
      </w:r>
      <w:r w:rsidR="00D93F7D">
        <w:rPr>
          <w:b/>
          <w:bCs/>
        </w:rPr>
        <w:t xml:space="preserve">unanimously approved </w:t>
      </w:r>
      <w:r w:rsidR="00D93F7D">
        <w:t xml:space="preserve">with </w:t>
      </w:r>
      <w:r w:rsidR="00D93F7D">
        <w:rPr>
          <w:i/>
          <w:iCs/>
        </w:rPr>
        <w:t xml:space="preserve">five (5) recommendations </w:t>
      </w:r>
      <w:r w:rsidR="00D93F7D">
        <w:t>(in italics above)</w:t>
      </w:r>
    </w:p>
    <w:p w14:paraId="3281D031" w14:textId="6B66BC47" w:rsidR="00CD0D38" w:rsidRDefault="00CD0D38" w:rsidP="00CD0D38">
      <w:pPr>
        <w:numPr>
          <w:ilvl w:val="0"/>
          <w:numId w:val="2"/>
        </w:numPr>
      </w:pPr>
      <w:r w:rsidRPr="00CD0D38">
        <w:t>Consumer Sc: Fashion and Retail 2375 (existing course requesting new GE Foundation Social and Behavioral Sciences)</w:t>
      </w:r>
    </w:p>
    <w:p w14:paraId="19E73063" w14:textId="0CB59A18" w:rsidR="00F762F8" w:rsidRPr="00783F8D" w:rsidRDefault="00594676" w:rsidP="005B717C">
      <w:pPr>
        <w:numPr>
          <w:ilvl w:val="1"/>
          <w:numId w:val="2"/>
        </w:numPr>
        <w:rPr>
          <w:b/>
          <w:bCs/>
        </w:rPr>
      </w:pPr>
      <w:r w:rsidRPr="003B179A">
        <w:t>The Panel is intrigued at the prospect of having this course under the Social and Behavioral Sciences Foundation category</w:t>
      </w:r>
      <w:r w:rsidR="00783F8D">
        <w:t xml:space="preserve"> – but </w:t>
      </w:r>
      <w:r w:rsidR="00953DFB">
        <w:t xml:space="preserve">evidence </w:t>
      </w:r>
      <w:r w:rsidR="00484C22">
        <w:t>that</w:t>
      </w:r>
      <w:r w:rsidR="00953DFB">
        <w:t xml:space="preserve"> the </w:t>
      </w:r>
      <w:r w:rsidR="00484C22">
        <w:t>SBS goals/</w:t>
      </w:r>
      <w:r w:rsidR="00953DFB">
        <w:t xml:space="preserve">ELOs </w:t>
      </w:r>
      <w:r w:rsidR="00484C22">
        <w:t>have been</w:t>
      </w:r>
      <w:r w:rsidR="00953DFB">
        <w:t xml:space="preserve"> applied in the syllabus must be more readily apparent</w:t>
      </w:r>
      <w:r w:rsidR="00B56854">
        <w:t xml:space="preserve">, with </w:t>
      </w:r>
      <w:r w:rsidR="00953DFB">
        <w:t xml:space="preserve">SBS theories and methods </w:t>
      </w:r>
      <w:r w:rsidR="00B56854">
        <w:t>relevant to the course explicitly articulated throughout.</w:t>
      </w:r>
    </w:p>
    <w:p w14:paraId="31414574" w14:textId="6BB8084E" w:rsidR="00F72ABF" w:rsidRPr="00F72ABF" w:rsidRDefault="00783F8D" w:rsidP="00F72ABF">
      <w:pPr>
        <w:numPr>
          <w:ilvl w:val="1"/>
          <w:numId w:val="2"/>
        </w:numPr>
        <w:rPr>
          <w:b/>
          <w:bCs/>
        </w:rPr>
      </w:pPr>
      <w:r>
        <w:t xml:space="preserve">According to the paperwork submitted to curriculum.osu.edu for the SBS GE category, in the course, “students explore the interplay between music and fashion through the lens of related social/psychological theories and consider social scientific inquiry and research on given topics.”  However, the </w:t>
      </w:r>
      <w:proofErr w:type="gramStart"/>
      <w:r>
        <w:t xml:space="preserve">particular </w:t>
      </w:r>
      <w:r w:rsidR="00F762F8">
        <w:t>methodological</w:t>
      </w:r>
      <w:proofErr w:type="gramEnd"/>
      <w:r w:rsidR="00F762F8">
        <w:t xml:space="preserve"> insights </w:t>
      </w:r>
      <w:r>
        <w:t xml:space="preserve">that </w:t>
      </w:r>
      <w:r w:rsidR="00F762F8">
        <w:t>will inform the critical connections</w:t>
      </w:r>
      <w:r w:rsidR="003B4A66">
        <w:t xml:space="preserve"> made</w:t>
      </w:r>
      <w:r w:rsidR="00F762F8">
        <w:t xml:space="preserve"> between music and dres</w:t>
      </w:r>
      <w:r>
        <w:t xml:space="preserve">s, and their relationship between the class’ goals/ELOs are not clearly underscored in the syllabus, </w:t>
      </w:r>
      <w:r w:rsidR="00F72ABF">
        <w:t>specifically</w:t>
      </w:r>
      <w:r>
        <w:t xml:space="preserve"> ELO</w:t>
      </w:r>
      <w:r w:rsidR="00F72ABF">
        <w:t>s</w:t>
      </w:r>
      <w:r>
        <w:t xml:space="preserve"> 1.1 and 1.2.</w:t>
      </w:r>
      <w:r w:rsidR="00F72ABF">
        <w:rPr>
          <w:b/>
          <w:bCs/>
        </w:rPr>
        <w:t xml:space="preserve">  </w:t>
      </w:r>
      <w:r w:rsidR="00F72ABF">
        <w:t>To this end, the Panel asks the department to:</w:t>
      </w:r>
    </w:p>
    <w:p w14:paraId="5F51DF0F" w14:textId="382662E0" w:rsidR="005B717C" w:rsidRPr="00F72ABF" w:rsidRDefault="00F72ABF" w:rsidP="00F72ABF">
      <w:pPr>
        <w:numPr>
          <w:ilvl w:val="2"/>
          <w:numId w:val="2"/>
        </w:numPr>
        <w:rPr>
          <w:b/>
          <w:bCs/>
        </w:rPr>
      </w:pPr>
      <w:r>
        <w:t>Revise the syllabus to include a statement</w:t>
      </w:r>
      <w:r w:rsidR="00F762F8">
        <w:t xml:space="preserve"> in the ELO section </w:t>
      </w:r>
      <w:r>
        <w:t>that</w:t>
      </w:r>
      <w:r w:rsidR="004A2C0A">
        <w:t xml:space="preserve"> demonstrate</w:t>
      </w:r>
      <w:r>
        <w:t>s</w:t>
      </w:r>
      <w:r w:rsidR="004A2C0A">
        <w:t xml:space="preserve"> </w:t>
      </w:r>
      <w:r w:rsidR="00F762F8">
        <w:t xml:space="preserve">how </w:t>
      </w:r>
      <w:r w:rsidR="004A2C0A">
        <w:t>the course will examine this overlap</w:t>
      </w:r>
      <w:r>
        <w:t xml:space="preserve"> between music and dress, taking care to highlight how theories and methods from Social Science ground these analytical approaches</w:t>
      </w:r>
      <w:r w:rsidR="004A2C0A">
        <w:t>.</w:t>
      </w:r>
    </w:p>
    <w:p w14:paraId="7C52AC90" w14:textId="7CF9007F" w:rsidR="00F72ABF" w:rsidRPr="00F72ABF" w:rsidRDefault="00676981" w:rsidP="00F72ABF">
      <w:pPr>
        <w:numPr>
          <w:ilvl w:val="2"/>
          <w:numId w:val="2"/>
        </w:numPr>
        <w:rPr>
          <w:b/>
          <w:bCs/>
        </w:rPr>
      </w:pPr>
      <w:r>
        <w:t>Amend the class schedule to include specific readings (with page numbers</w:t>
      </w:r>
      <w:r w:rsidR="00D90FDD">
        <w:t>)</w:t>
      </w:r>
      <w:r>
        <w:t xml:space="preserve"> </w:t>
      </w:r>
      <w:r w:rsidR="00D90FDD">
        <w:t xml:space="preserve">so that the course’s roots in Social Science scholarship and practices </w:t>
      </w:r>
      <w:r w:rsidR="00DF3572">
        <w:t>connects more overtly with the assigned materials</w:t>
      </w:r>
      <w:r w:rsidR="00D90FDD">
        <w:t>.</w:t>
      </w:r>
    </w:p>
    <w:p w14:paraId="43868FFD" w14:textId="6994DC3E" w:rsidR="00CD333F" w:rsidRPr="00C0612A" w:rsidRDefault="00CD333F" w:rsidP="00CD333F">
      <w:pPr>
        <w:numPr>
          <w:ilvl w:val="1"/>
          <w:numId w:val="2"/>
        </w:numPr>
        <w:rPr>
          <w:b/>
          <w:bCs/>
        </w:rPr>
      </w:pPr>
      <w:r>
        <w:lastRenderedPageBreak/>
        <w:t>Panel Chair Mat Coleman has offered and strongly encourages the department to speak with him about how to adjust the course to fit the SBS category.</w:t>
      </w:r>
    </w:p>
    <w:p w14:paraId="54CBE8EF" w14:textId="619C9802" w:rsidR="00E15A23" w:rsidRPr="00063FC7" w:rsidRDefault="00063FC7" w:rsidP="005B717C">
      <w:pPr>
        <w:numPr>
          <w:ilvl w:val="1"/>
          <w:numId w:val="2"/>
        </w:numPr>
        <w:rPr>
          <w:b/>
          <w:bCs/>
        </w:rPr>
      </w:pPr>
      <w:r>
        <w:rPr>
          <w:b/>
          <w:bCs/>
        </w:rPr>
        <w:t>No Vote</w:t>
      </w:r>
    </w:p>
    <w:sectPr w:rsidR="00E15A23" w:rsidRPr="0006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617"/>
    <w:multiLevelType w:val="multilevel"/>
    <w:tmpl w:val="306CE9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676C13"/>
    <w:multiLevelType w:val="multilevel"/>
    <w:tmpl w:val="D466F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9F19C4"/>
    <w:multiLevelType w:val="multilevel"/>
    <w:tmpl w:val="DA5456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DF52AB"/>
    <w:multiLevelType w:val="hybridMultilevel"/>
    <w:tmpl w:val="A6C097EA"/>
    <w:lvl w:ilvl="0" w:tplc="04090011">
      <w:start w:val="1"/>
      <w:numFmt w:val="decimal"/>
      <w:lvlText w:val="%1)"/>
      <w:lvlJc w:val="left"/>
      <w:pPr>
        <w:ind w:left="720" w:hanging="360"/>
      </w:pPr>
    </w:lvl>
    <w:lvl w:ilvl="1" w:tplc="04090001">
      <w:numFmt w:val="decimal"/>
      <w:lvlText w:val=""/>
      <w:lvlJc w:val="left"/>
      <w:pPr>
        <w:ind w:left="1440" w:hanging="360"/>
      </w:pPr>
      <w:rPr>
        <w:rFonts w:ascii="Symbol" w:hAnsi="Symbol" w:hint="default"/>
      </w:rPr>
    </w:lvl>
    <w:lvl w:ilvl="2" w:tplc="04090003">
      <w:numFmt w:val="decimal"/>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CA67BD"/>
    <w:multiLevelType w:val="multilevel"/>
    <w:tmpl w:val="469E93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38"/>
    <w:rsid w:val="00002FB6"/>
    <w:rsid w:val="00044C30"/>
    <w:rsid w:val="00063FC7"/>
    <w:rsid w:val="00092016"/>
    <w:rsid w:val="000973CF"/>
    <w:rsid w:val="000D3840"/>
    <w:rsid w:val="00102C46"/>
    <w:rsid w:val="00104983"/>
    <w:rsid w:val="00120E8E"/>
    <w:rsid w:val="00130501"/>
    <w:rsid w:val="00161485"/>
    <w:rsid w:val="001932FF"/>
    <w:rsid w:val="001C3B39"/>
    <w:rsid w:val="001D3556"/>
    <w:rsid w:val="001F7F2D"/>
    <w:rsid w:val="00216335"/>
    <w:rsid w:val="002847DA"/>
    <w:rsid w:val="002D27EF"/>
    <w:rsid w:val="002E2843"/>
    <w:rsid w:val="002F3544"/>
    <w:rsid w:val="0030386A"/>
    <w:rsid w:val="00311167"/>
    <w:rsid w:val="00315142"/>
    <w:rsid w:val="00325E5C"/>
    <w:rsid w:val="00340CDD"/>
    <w:rsid w:val="003B179A"/>
    <w:rsid w:val="003B4A66"/>
    <w:rsid w:val="0041243D"/>
    <w:rsid w:val="00445A08"/>
    <w:rsid w:val="00484C22"/>
    <w:rsid w:val="00491808"/>
    <w:rsid w:val="00494DD6"/>
    <w:rsid w:val="004A2C0A"/>
    <w:rsid w:val="004F189D"/>
    <w:rsid w:val="00533FCD"/>
    <w:rsid w:val="00540B0F"/>
    <w:rsid w:val="00543600"/>
    <w:rsid w:val="0054392A"/>
    <w:rsid w:val="005566A7"/>
    <w:rsid w:val="00556A9F"/>
    <w:rsid w:val="00576E6D"/>
    <w:rsid w:val="00585C55"/>
    <w:rsid w:val="00594676"/>
    <w:rsid w:val="005B717C"/>
    <w:rsid w:val="005D1F64"/>
    <w:rsid w:val="005F0376"/>
    <w:rsid w:val="00615C1E"/>
    <w:rsid w:val="0063083B"/>
    <w:rsid w:val="006523D5"/>
    <w:rsid w:val="00676981"/>
    <w:rsid w:val="006A0AB0"/>
    <w:rsid w:val="007046FF"/>
    <w:rsid w:val="007177D5"/>
    <w:rsid w:val="00717C0E"/>
    <w:rsid w:val="00722AFD"/>
    <w:rsid w:val="007405D8"/>
    <w:rsid w:val="00783F8D"/>
    <w:rsid w:val="007D62A5"/>
    <w:rsid w:val="00852A11"/>
    <w:rsid w:val="00877130"/>
    <w:rsid w:val="00882BD7"/>
    <w:rsid w:val="00887D22"/>
    <w:rsid w:val="008A6276"/>
    <w:rsid w:val="008B583C"/>
    <w:rsid w:val="008B68A1"/>
    <w:rsid w:val="008C61ED"/>
    <w:rsid w:val="008D45BA"/>
    <w:rsid w:val="009009B7"/>
    <w:rsid w:val="00906BAA"/>
    <w:rsid w:val="0093265D"/>
    <w:rsid w:val="009415B7"/>
    <w:rsid w:val="00953DFB"/>
    <w:rsid w:val="009B458B"/>
    <w:rsid w:val="009D5D45"/>
    <w:rsid w:val="00A02A33"/>
    <w:rsid w:val="00A11A98"/>
    <w:rsid w:val="00A212F9"/>
    <w:rsid w:val="00A22B8A"/>
    <w:rsid w:val="00A371A8"/>
    <w:rsid w:val="00A437F6"/>
    <w:rsid w:val="00A712A4"/>
    <w:rsid w:val="00B56854"/>
    <w:rsid w:val="00B723EB"/>
    <w:rsid w:val="00B77352"/>
    <w:rsid w:val="00B84DE5"/>
    <w:rsid w:val="00B97648"/>
    <w:rsid w:val="00BA765D"/>
    <w:rsid w:val="00BE3905"/>
    <w:rsid w:val="00C0612A"/>
    <w:rsid w:val="00C15CD2"/>
    <w:rsid w:val="00C642E1"/>
    <w:rsid w:val="00CB2BC3"/>
    <w:rsid w:val="00CD0D38"/>
    <w:rsid w:val="00CD333F"/>
    <w:rsid w:val="00CE2486"/>
    <w:rsid w:val="00D62130"/>
    <w:rsid w:val="00D63A5C"/>
    <w:rsid w:val="00D64EA7"/>
    <w:rsid w:val="00D71CBA"/>
    <w:rsid w:val="00D74EEE"/>
    <w:rsid w:val="00D90FDD"/>
    <w:rsid w:val="00D93F7D"/>
    <w:rsid w:val="00D96B9B"/>
    <w:rsid w:val="00DC30B5"/>
    <w:rsid w:val="00DD383C"/>
    <w:rsid w:val="00DF3572"/>
    <w:rsid w:val="00E1101A"/>
    <w:rsid w:val="00E15A23"/>
    <w:rsid w:val="00EA3D90"/>
    <w:rsid w:val="00EF7206"/>
    <w:rsid w:val="00F25F56"/>
    <w:rsid w:val="00F35580"/>
    <w:rsid w:val="00F632F8"/>
    <w:rsid w:val="00F64791"/>
    <w:rsid w:val="00F72ABF"/>
    <w:rsid w:val="00F762F8"/>
    <w:rsid w:val="00FD48FA"/>
    <w:rsid w:val="00FD4B8E"/>
    <w:rsid w:val="00FD5158"/>
    <w:rsid w:val="00FE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CC12"/>
  <w15:chartTrackingRefBased/>
  <w15:docId w15:val="{04D5556D-A655-4D44-A495-5ED5CF67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C0E"/>
    <w:pPr>
      <w:spacing w:line="254" w:lineRule="auto"/>
      <w:ind w:left="720"/>
      <w:contextualSpacing/>
    </w:pPr>
  </w:style>
  <w:style w:type="character" w:styleId="Hyperlink">
    <w:name w:val="Hyperlink"/>
    <w:basedOn w:val="DefaultParagraphFont"/>
    <w:uiPriority w:val="99"/>
    <w:unhideWhenUsed/>
    <w:rsid w:val="001D3556"/>
    <w:rPr>
      <w:color w:val="0000FF"/>
      <w:u w:val="single"/>
    </w:rPr>
  </w:style>
  <w:style w:type="character" w:styleId="CommentReference">
    <w:name w:val="annotation reference"/>
    <w:basedOn w:val="DefaultParagraphFont"/>
    <w:uiPriority w:val="99"/>
    <w:semiHidden/>
    <w:unhideWhenUsed/>
    <w:rsid w:val="008A6276"/>
    <w:rPr>
      <w:sz w:val="16"/>
      <w:szCs w:val="16"/>
    </w:rPr>
  </w:style>
  <w:style w:type="paragraph" w:styleId="CommentText">
    <w:name w:val="annotation text"/>
    <w:basedOn w:val="Normal"/>
    <w:link w:val="CommentTextChar"/>
    <w:uiPriority w:val="99"/>
    <w:semiHidden/>
    <w:unhideWhenUsed/>
    <w:rsid w:val="008A6276"/>
    <w:pPr>
      <w:spacing w:line="240" w:lineRule="auto"/>
    </w:pPr>
    <w:rPr>
      <w:sz w:val="20"/>
      <w:szCs w:val="20"/>
    </w:rPr>
  </w:style>
  <w:style w:type="character" w:customStyle="1" w:styleId="CommentTextChar">
    <w:name w:val="Comment Text Char"/>
    <w:basedOn w:val="DefaultParagraphFont"/>
    <w:link w:val="CommentText"/>
    <w:uiPriority w:val="99"/>
    <w:semiHidden/>
    <w:rsid w:val="008A6276"/>
    <w:rPr>
      <w:sz w:val="20"/>
      <w:szCs w:val="20"/>
    </w:rPr>
  </w:style>
  <w:style w:type="paragraph" w:styleId="CommentSubject">
    <w:name w:val="annotation subject"/>
    <w:basedOn w:val="CommentText"/>
    <w:next w:val="CommentText"/>
    <w:link w:val="CommentSubjectChar"/>
    <w:uiPriority w:val="99"/>
    <w:semiHidden/>
    <w:unhideWhenUsed/>
    <w:rsid w:val="008A6276"/>
    <w:rPr>
      <w:b/>
      <w:bCs/>
    </w:rPr>
  </w:style>
  <w:style w:type="character" w:customStyle="1" w:styleId="CommentSubjectChar">
    <w:name w:val="Comment Subject Char"/>
    <w:basedOn w:val="CommentTextChar"/>
    <w:link w:val="CommentSubject"/>
    <w:uiPriority w:val="99"/>
    <w:semiHidden/>
    <w:rsid w:val="008A6276"/>
    <w:rPr>
      <w:b/>
      <w:bCs/>
      <w:sz w:val="20"/>
      <w:szCs w:val="20"/>
    </w:rPr>
  </w:style>
  <w:style w:type="character" w:styleId="FollowedHyperlink">
    <w:name w:val="FollowedHyperlink"/>
    <w:basedOn w:val="DefaultParagraphFont"/>
    <w:uiPriority w:val="99"/>
    <w:semiHidden/>
    <w:unhideWhenUsed/>
    <w:rsid w:val="00D74EEE"/>
    <w:rPr>
      <w:color w:val="954F72" w:themeColor="followedHyperlink"/>
      <w:u w:val="single"/>
    </w:rPr>
  </w:style>
  <w:style w:type="character" w:styleId="UnresolvedMention">
    <w:name w:val="Unresolved Mention"/>
    <w:basedOn w:val="DefaultParagraphFont"/>
    <w:uiPriority w:val="99"/>
    <w:semiHidden/>
    <w:unhideWhenUsed/>
    <w:rsid w:val="00D74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6672">
      <w:bodyDiv w:val="1"/>
      <w:marLeft w:val="0"/>
      <w:marRight w:val="0"/>
      <w:marTop w:val="0"/>
      <w:marBottom w:val="0"/>
      <w:divBdr>
        <w:top w:val="none" w:sz="0" w:space="0" w:color="auto"/>
        <w:left w:val="none" w:sz="0" w:space="0" w:color="auto"/>
        <w:bottom w:val="none" w:sz="0" w:space="0" w:color="auto"/>
        <w:right w:val="none" w:sz="0" w:space="0" w:color="auto"/>
      </w:divBdr>
    </w:div>
    <w:div w:id="713894838">
      <w:bodyDiv w:val="1"/>
      <w:marLeft w:val="0"/>
      <w:marRight w:val="0"/>
      <w:marTop w:val="0"/>
      <w:marBottom w:val="0"/>
      <w:divBdr>
        <w:top w:val="none" w:sz="0" w:space="0" w:color="auto"/>
        <w:left w:val="none" w:sz="0" w:space="0" w:color="auto"/>
        <w:bottom w:val="none" w:sz="0" w:space="0" w:color="auto"/>
        <w:right w:val="none" w:sz="0" w:space="0" w:color="auto"/>
      </w:divBdr>
    </w:div>
    <w:div w:id="765468827">
      <w:bodyDiv w:val="1"/>
      <w:marLeft w:val="0"/>
      <w:marRight w:val="0"/>
      <w:marTop w:val="0"/>
      <w:marBottom w:val="0"/>
      <w:divBdr>
        <w:top w:val="none" w:sz="0" w:space="0" w:color="auto"/>
        <w:left w:val="none" w:sz="0" w:space="0" w:color="auto"/>
        <w:bottom w:val="none" w:sz="0" w:space="0" w:color="auto"/>
        <w:right w:val="none" w:sz="0" w:space="0" w:color="auto"/>
      </w:divBdr>
    </w:div>
    <w:div w:id="801733601">
      <w:bodyDiv w:val="1"/>
      <w:marLeft w:val="0"/>
      <w:marRight w:val="0"/>
      <w:marTop w:val="0"/>
      <w:marBottom w:val="0"/>
      <w:divBdr>
        <w:top w:val="none" w:sz="0" w:space="0" w:color="auto"/>
        <w:left w:val="none" w:sz="0" w:space="0" w:color="auto"/>
        <w:bottom w:val="none" w:sz="0" w:space="0" w:color="auto"/>
        <w:right w:val="none" w:sz="0" w:space="0" w:color="auto"/>
      </w:divBdr>
    </w:div>
    <w:div w:id="1614364090">
      <w:bodyDiv w:val="1"/>
      <w:marLeft w:val="0"/>
      <w:marRight w:val="0"/>
      <w:marTop w:val="0"/>
      <w:marBottom w:val="0"/>
      <w:divBdr>
        <w:top w:val="none" w:sz="0" w:space="0" w:color="auto"/>
        <w:left w:val="none" w:sz="0" w:space="0" w:color="auto"/>
        <w:bottom w:val="none" w:sz="0" w:space="0" w:color="auto"/>
        <w:right w:val="none" w:sz="0" w:space="0" w:color="auto"/>
      </w:divBdr>
    </w:div>
    <w:div w:id="1623028825">
      <w:bodyDiv w:val="1"/>
      <w:marLeft w:val="0"/>
      <w:marRight w:val="0"/>
      <w:marTop w:val="0"/>
      <w:marBottom w:val="0"/>
      <w:divBdr>
        <w:top w:val="none" w:sz="0" w:space="0" w:color="auto"/>
        <w:left w:val="none" w:sz="0" w:space="0" w:color="auto"/>
        <w:bottom w:val="none" w:sz="0" w:space="0" w:color="auto"/>
        <w:right w:val="none" w:sz="0" w:space="0" w:color="auto"/>
      </w:divBdr>
    </w:div>
    <w:div w:id="19963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a.osu.edu/ohio-state-ge-program"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theme" Target="theme/theme1.xml"/><Relationship Id="rId5" Type="http://schemas.openxmlformats.org/officeDocument/2006/relationships/hyperlink" Target="https://asccas.osu.edu/curriculum/syllabus-ele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15</cp:revision>
  <dcterms:created xsi:type="dcterms:W3CDTF">2021-11-12T18:34:00Z</dcterms:created>
  <dcterms:modified xsi:type="dcterms:W3CDTF">2021-11-18T18:04:00Z</dcterms:modified>
</cp:coreProperties>
</file>